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7A6400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7A6400">
        <w:rPr>
          <w:rFonts w:cs="TH SarabunPSK"/>
          <w:b/>
          <w:bCs/>
          <w:szCs w:val="32"/>
        </w:rPr>
        <w:t xml:space="preserve">: </w:t>
      </w:r>
      <w:r w:rsidR="007A6400" w:rsidRPr="003818EC">
        <w:rPr>
          <w:rFonts w:cs="TH SarabunPSK"/>
          <w:b/>
          <w:bCs/>
          <w:szCs w:val="32"/>
          <w:cs/>
        </w:rPr>
        <w:t>การ</w:t>
      </w:r>
      <w:r w:rsidR="003818EC" w:rsidRPr="003818EC">
        <w:rPr>
          <w:rFonts w:cs="TH SarabunPSK"/>
          <w:b/>
          <w:bCs/>
          <w:szCs w:val="32"/>
          <w:cs/>
        </w:rPr>
        <w:t>ป้องกันและแก้ไขปัญหาความมั่นคงทางไซเบอร์</w:t>
      </w:r>
      <w:r w:rsidR="00753211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0D2F97" w:rsidRPr="00F10348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tbl>
      <w:tblPr>
        <w:tblStyle w:val="14"/>
        <w:tblW w:w="23214" w:type="dxa"/>
        <w:tblLayout w:type="fixed"/>
        <w:tblLook w:val="04A0"/>
      </w:tblPr>
      <w:tblGrid>
        <w:gridCol w:w="989"/>
        <w:gridCol w:w="679"/>
        <w:gridCol w:w="2156"/>
        <w:gridCol w:w="2268"/>
        <w:gridCol w:w="2268"/>
        <w:gridCol w:w="2409"/>
        <w:gridCol w:w="2552"/>
        <w:gridCol w:w="2410"/>
        <w:gridCol w:w="2551"/>
        <w:gridCol w:w="2410"/>
        <w:gridCol w:w="2522"/>
      </w:tblGrid>
      <w:tr w:rsidR="000A7639" w:rsidRPr="00CB0004" w:rsidTr="00CB0004">
        <w:trPr>
          <w:trHeight w:val="58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CB0004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CB0004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cs/>
              </w:rPr>
              <w:t>แผนระดับที่ ๑</w:t>
            </w:r>
          </w:p>
          <w:p w:rsidR="000A7639" w:rsidRPr="00CB0004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CB0004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>(z)</w:t>
            </w:r>
          </w:p>
        </w:tc>
        <w:tc>
          <w:tcPr>
            <w:tcW w:w="21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CB0004" w:rsidRDefault="006E4913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28"/>
              </w:rPr>
            </w:pPr>
            <w:r w:rsidRPr="006E4913">
              <w:rPr>
                <w:rFonts w:ascii="TH SarabunPSK" w:eastAsiaTheme="minorHAnsi" w:hAnsi="TH SarabunPSK" w:cs="TH SarabunPSK"/>
                <w:noProof/>
                <w:sz w:val="28"/>
                <w:u w:val="single"/>
              </w:rPr>
              <w:pict>
                <v:oval id="_x0000_s1324" style="position:absolute;left:0;text-align:left;margin-left:623.65pt;margin-top:17.75pt;width:12.9pt;height:12.25pt;z-index:251994112;mso-position-horizontal-relative:text;mso-position-vertical-relative:text" fillcolor="#92d050"/>
              </w:pict>
            </w:r>
            <w:r w:rsidR="0043320D" w:rsidRPr="00CB0004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เป้าหมายตามยุทธศาสตร์ชาติ</w:t>
            </w:r>
            <w:r w:rsidR="0043320D" w:rsidRPr="00CB000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CB0004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CB0004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CB0004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CB0004">
              <w:rPr>
                <w:rFonts w:eastAsiaTheme="minorHAnsi" w:cs="TH SarabunPSK"/>
                <w:sz w:val="28"/>
                <w:szCs w:val="28"/>
                <w:u w:val="single"/>
                <w:cs/>
              </w:rPr>
              <w:t>หน่วยรับผิดชอบ</w:t>
            </w:r>
            <w:r w:rsidRPr="00CB0004">
              <w:rPr>
                <w:rFonts w:eastAsiaTheme="minorHAnsi" w:cs="TH SarabunPSK"/>
                <w:sz w:val="28"/>
                <w:szCs w:val="28"/>
                <w:cs/>
              </w:rPr>
              <w:t xml:space="preserve"> กอ.</w:t>
            </w:r>
            <w:proofErr w:type="spellStart"/>
            <w:r w:rsidRPr="00CB0004">
              <w:rPr>
                <w:rFonts w:eastAsiaTheme="minorHAnsi" w:cs="TH SarabunPSK"/>
                <w:sz w:val="28"/>
                <w:szCs w:val="28"/>
                <w:cs/>
              </w:rPr>
              <w:t>รมน.</w:t>
            </w:r>
            <w:proofErr w:type="spellEnd"/>
            <w:r w:rsidRPr="00CB0004">
              <w:rPr>
                <w:rFonts w:eastAsiaTheme="minorHAnsi" w:cs="TH SarabunPSK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CB0004">
              <w:rPr>
                <w:rFonts w:eastAsiaTheme="minorHAnsi" w:cs="TH SarabunPSK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CB0004" w:rsidTr="00CB0004">
        <w:trPr>
          <w:trHeight w:val="682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Pr="00CB0004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CB0004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0A7639" w:rsidRPr="00CB0004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CB0004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21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CB0004" w:rsidRDefault="0043320D" w:rsidP="0043320D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CB0004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เป้าหมายย่อยของแผนย่อย </w:t>
            </w:r>
            <w:r w:rsidRPr="00CB00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0004">
              <w:rPr>
                <w:rFonts w:ascii="TH SarabunPSK" w:hAnsi="TH SarabunPSK" w:cs="TH SarabunPSK"/>
                <w:sz w:val="28"/>
              </w:rPr>
              <w:t xml:space="preserve">: </w:t>
            </w:r>
            <w:r w:rsidRPr="00CB0004">
              <w:rPr>
                <w:rFonts w:ascii="TH SarabunPSK" w:hAnsi="TH SarabunPSK" w:cs="TH SarabunPSK"/>
                <w:sz w:val="28"/>
                <w:cs/>
              </w:rPr>
              <w:t>๑. 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ได้รับการแก้ไขจนไม่ส่งผลกระทบต่อการบริหารและพัฒนาประเทศ</w:t>
            </w:r>
          </w:p>
          <w:p w:rsidR="0043320D" w:rsidRPr="00CB0004" w:rsidRDefault="0043320D" w:rsidP="004332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0004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</w:t>
            </w:r>
            <w:r w:rsidRPr="00CB00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0004">
              <w:rPr>
                <w:rFonts w:ascii="TH SarabunPSK" w:hAnsi="TH SarabunPSK" w:cs="TH SarabunPSK"/>
                <w:sz w:val="28"/>
              </w:rPr>
              <w:t xml:space="preserve">: </w:t>
            </w:r>
            <w:r w:rsidRPr="00CB0004">
              <w:rPr>
                <w:rFonts w:ascii="TH SarabunPSK" w:hAnsi="TH SarabunPSK" w:cs="TH SarabunPSK"/>
                <w:sz w:val="28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CB0004" w:rsidRDefault="006E4913" w:rsidP="004332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4913">
              <w:rPr>
                <w:rFonts w:ascii="TH SarabunPSK" w:hAnsi="TH SarabunPSK" w:cs="TH SarabunPSK"/>
                <w:noProof/>
                <w:sz w:val="28"/>
                <w:u w:val="single"/>
              </w:rPr>
              <w:pict>
                <v:oval id="_x0000_s1325" style="position:absolute;left:0;text-align:left;margin-left:577.5pt;margin-top:0;width:12.9pt;height:12.25pt;z-index:251996160" fillcolor="yellow"/>
              </w:pict>
            </w:r>
            <w:r w:rsidR="0043320D" w:rsidRPr="00CB0004">
              <w:rPr>
                <w:rFonts w:ascii="TH SarabunPSK" w:hAnsi="TH SarabunPSK" w:cs="TH SarabunPSK"/>
                <w:sz w:val="28"/>
                <w:u w:val="single"/>
                <w:cs/>
              </w:rPr>
              <w:t>หน่วยรับผิดชอบ</w:t>
            </w:r>
            <w:r w:rsidR="0043320D" w:rsidRPr="00CB0004">
              <w:rPr>
                <w:rFonts w:ascii="TH SarabunPSK" w:hAnsi="TH SarabunPSK" w:cs="TH SarabunPSK"/>
                <w:sz w:val="28"/>
              </w:rPr>
              <w:t xml:space="preserve"> :</w:t>
            </w:r>
            <w:r w:rsidR="0043320D" w:rsidRPr="00CB0004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proofErr w:type="spellStart"/>
            <w:r w:rsidR="0043320D" w:rsidRPr="00CB0004">
              <w:rPr>
                <w:rFonts w:ascii="TH SarabunPSK" w:hAnsi="TH SarabunPSK" w:cs="TH SarabunPSK"/>
                <w:spacing w:val="-2"/>
                <w:sz w:val="28"/>
                <w:cs/>
              </w:rPr>
              <w:t>สมช.</w:t>
            </w:r>
            <w:proofErr w:type="spellEnd"/>
          </w:p>
        </w:tc>
      </w:tr>
      <w:tr w:rsidR="000D2F97" w:rsidRPr="00CB0004" w:rsidTr="00CB0004">
        <w:trPr>
          <w:trHeight w:val="228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(๑) กำหนดแนวความคิด มาตรการ มาตรฐาน ระบบบริหารจัดการในการป้องกันและแก้ไขปัญหาความมั่นคงทางไซเบอร์ในภาพรวม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(๒) จัดองค์กร โครงสร้าง อำนาจ หน้าที่ ขีดความสามารถในการป้องกันและแก้ไขปัญหาความมั่นคงทางไซเบอร์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CB0004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="00CB0004">
              <w:rPr>
                <w:rFonts w:ascii="TH SarabunPSK" w:hAnsi="TH SarabunPSK" w:cs="TH SarabunPSK"/>
                <w:sz w:val="28"/>
              </w:rPr>
              <w:t>_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(๓) กำหนดระบบบริหารจัดการในแต่ละ</w:t>
            </w:r>
            <w:r w:rsidR="003818EC" w:rsidRPr="00CB0004">
              <w:rPr>
                <w:rFonts w:ascii="TH SarabunPSK" w:hAnsi="TH SarabunPSK" w:cs="TH SarabunPSK"/>
                <w:spacing w:val="-4"/>
                <w:sz w:val="28"/>
                <w:cs/>
              </w:rPr>
              <w:t>ระดับให้ชัดเจน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pacing w:val="-4"/>
                <w:sz w:val="28"/>
                <w:cs/>
              </w:rPr>
              <w:t>(๔) เสริมสร้างและพัฒนาระบบการรายงานในสถานการณ์ฉุกเฉิน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pacing w:val="-4"/>
                <w:sz w:val="28"/>
                <w:cs/>
              </w:rPr>
              <w:t>(๕) ยกระดับแนวความคิดในการปกป้องโครงสร้างพื้นฐานสำคัญทางสารสนเทศ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(๖) พัฒนาการป้องกันแก้ไขปัญหาการเผยแพร่ข้อมูลที่กระทบต่อความมั่นคง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="00CB0004">
              <w:rPr>
                <w:rFonts w:ascii="TH SarabunPSK" w:hAnsi="TH SarabunPSK" w:cs="TH SarabunPSK"/>
                <w:sz w:val="28"/>
              </w:rPr>
              <w:t>_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(๗) สร้างความตระหนักรู้ให้แก่ประชาชนและหน่วยงาน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43320D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="00CB0004">
              <w:rPr>
                <w:rFonts w:ascii="TH SarabunPSK" w:hAnsi="TH SarabunPSK" w:cs="TH SarabunPSK"/>
                <w:sz w:val="28"/>
                <w:highlight w:val="green"/>
              </w:rPr>
              <w:t>_</w:t>
            </w:r>
            <w:r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(๘) ปรับปรุงแก้ไขกฎหมายที่เกี่ยวข้อง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00" w:rsidRPr="00CB0004" w:rsidRDefault="00753211" w:rsidP="003818EC">
            <w:pPr>
              <w:tabs>
                <w:tab w:val="left" w:pos="-44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</w:t>
            </w:r>
            <w:r w:rsidR="007A6400" w:rsidRPr="00CB0004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คิดในการดำเนินการที่สำคัญ</w:t>
            </w:r>
            <w:r w:rsidR="007A6400"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="00CB0004">
              <w:rPr>
                <w:rFonts w:ascii="TH SarabunPSK" w:hAnsi="TH SarabunPSK" w:cs="TH SarabunPSK"/>
                <w:sz w:val="28"/>
                <w:highlight w:val="green"/>
              </w:rPr>
              <w:t>_</w:t>
            </w:r>
            <w:r w:rsidR="007A6400" w:rsidRPr="00CB0004">
              <w:rPr>
                <w:rFonts w:ascii="TH SarabunPSK" w:hAnsi="TH SarabunPSK" w:cs="TH SarabunPSK"/>
                <w:sz w:val="28"/>
                <w:highlight w:val="green"/>
              </w:rPr>
              <w:t xml:space="preserve"> </w:t>
            </w:r>
            <w:r w:rsidR="003818EC" w:rsidRPr="00CB0004">
              <w:rPr>
                <w:rFonts w:ascii="TH SarabunPSK" w:hAnsi="TH SarabunPSK" w:cs="TH SarabunPSK"/>
                <w:sz w:val="28"/>
                <w:cs/>
              </w:rPr>
              <w:t>(๙) พัฒนาศักยภาพบุคลากรและเทคโนโลยีให้ทันสมัยพร้อมรองรับสถานการณ์ทุกรูปแบบ</w:t>
            </w:r>
          </w:p>
        </w:tc>
      </w:tr>
      <w:tr w:rsidR="000A7639" w:rsidRPr="00CB0004" w:rsidTr="00CB0004">
        <w:trPr>
          <w:trHeight w:val="63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CB0004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CB0004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 xml:space="preserve">แผนระดับที่ ๓ </w:t>
            </w:r>
          </w:p>
          <w:p w:rsidR="000A7639" w:rsidRPr="00CB0004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CB0004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  <w:cs/>
              </w:rPr>
              <w:t>แผนปฏิบัติการด้าน....</w:t>
            </w:r>
          </w:p>
          <w:p w:rsidR="000A7639" w:rsidRPr="00CB0004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21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C" w:rsidRPr="00CB0004" w:rsidRDefault="000A7639" w:rsidP="003818EC">
            <w:pPr>
              <w:pStyle w:val="a3"/>
              <w:ind w:left="33"/>
              <w:jc w:val="center"/>
              <w:rPr>
                <w:rFonts w:eastAsiaTheme="minorHAnsi" w:cs="TH SarabunPSK"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u w:val="single"/>
                <w:cs/>
              </w:rPr>
              <w:t>แผน</w:t>
            </w: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 xml:space="preserve"> </w:t>
            </w:r>
            <w:r w:rsidRPr="00CB0004">
              <w:rPr>
                <w:rFonts w:cs="TH SarabunPSK"/>
                <w:sz w:val="28"/>
                <w:szCs w:val="28"/>
                <w:highlight w:val="cyan"/>
              </w:rPr>
              <w:t xml:space="preserve">: </w:t>
            </w:r>
            <w:r w:rsidR="003818EC" w:rsidRPr="00CB0004">
              <w:rPr>
                <w:rFonts w:cs="TH SarabunPSK"/>
                <w:sz w:val="28"/>
                <w:szCs w:val="28"/>
                <w:highlight w:val="cyan"/>
                <w:cs/>
              </w:rPr>
              <w:t>แผนความมั่นคงปลอดภัยไซเบอร์แห่งชาติ</w:t>
            </w:r>
          </w:p>
          <w:p w:rsidR="000A7639" w:rsidRPr="00CB0004" w:rsidRDefault="006E4913" w:rsidP="000A7639">
            <w:pPr>
              <w:jc w:val="center"/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</w:pPr>
            <w:r w:rsidRPr="006E4913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23" style="position:absolute;left:0;text-align:left;margin-left:577.5pt;margin-top:.75pt;width:12.9pt;height:12.25pt;z-index:251992064" fillcolor="#92d050"/>
              </w:pict>
            </w:r>
            <w:r w:rsidR="000A7639" w:rsidRPr="00CB0004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หน่วยรับผิดชอบ</w:t>
            </w:r>
            <w:r w:rsidR="000A7639" w:rsidRPr="00CB0004">
              <w:rPr>
                <w:rFonts w:ascii="TH SarabunPSK" w:hAnsi="TH SarabunPSK" w:cs="TH SarabunPSK"/>
                <w:sz w:val="28"/>
                <w:highlight w:val="cyan"/>
              </w:rPr>
              <w:t xml:space="preserve"> : </w:t>
            </w:r>
            <w:proofErr w:type="spellStart"/>
            <w:r w:rsidR="003818EC" w:rsidRPr="00CB0004">
              <w:rPr>
                <w:rFonts w:ascii="TH SarabunPSK" w:hAnsi="TH SarabunPSK" w:cs="TH SarabunPSK"/>
                <w:sz w:val="28"/>
                <w:highlight w:val="cyan"/>
                <w:cs/>
              </w:rPr>
              <w:t>ดศ</w:t>
            </w:r>
            <w:r w:rsidR="007A6400" w:rsidRPr="00CB0004">
              <w:rPr>
                <w:rFonts w:ascii="TH SarabunPSK" w:hAnsi="TH SarabunPSK" w:cs="TH SarabunPSK"/>
                <w:sz w:val="28"/>
                <w:highlight w:val="cyan"/>
                <w:cs/>
              </w:rPr>
              <w:t>.</w:t>
            </w:r>
            <w:proofErr w:type="spellEnd"/>
          </w:p>
        </w:tc>
      </w:tr>
      <w:tr w:rsidR="000A7639" w:rsidRPr="00CB0004" w:rsidTr="00CB0004">
        <w:trPr>
          <w:trHeight w:val="63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CB0004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21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0" w:rsidRPr="00CB0004" w:rsidRDefault="00B53B00" w:rsidP="00B53B00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pacing w:val="-10"/>
                <w:sz w:val="28"/>
                <w:highlight w:val="cyan"/>
                <w:u w:val="single"/>
              </w:rPr>
            </w:pPr>
            <w:r w:rsidRPr="00CB0004">
              <w:rPr>
                <w:rFonts w:ascii="TH SarabunPSK" w:hAnsi="TH SarabunPSK" w:cs="TH SarabunPSK"/>
                <w:spacing w:val="-10"/>
                <w:sz w:val="28"/>
                <w:highlight w:val="cyan"/>
                <w:u w:val="single"/>
                <w:cs/>
              </w:rPr>
              <w:t>ตัวชี้วัด</w:t>
            </w:r>
          </w:p>
          <w:p w:rsidR="003818EC" w:rsidRPr="00CB0004" w:rsidRDefault="003818EC" w:rsidP="003818EC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rPr>
                <w:rFonts w:ascii="TH SarabunPSK" w:hAnsi="TH SarabunPSK" w:cs="TH SarabunPSK"/>
                <w:sz w:val="28"/>
                <w:highlight w:val="cyan"/>
              </w:rPr>
            </w:pPr>
            <w:r w:rsidRPr="00CB0004">
              <w:rPr>
                <w:rFonts w:ascii="TH SarabunPSK" w:hAnsi="TH SarabunPSK" w:cs="TH SarabunPSK"/>
                <w:sz w:val="28"/>
                <w:highlight w:val="cyan"/>
                <w:cs/>
              </w:rPr>
              <w:t>๑) ระดับความพร้อมของไทยในการป้องกันความเสี่ยงจากการโจมตีด้านไซเบอร์ที่สอดคล้องกับหลักสากล</w:t>
            </w:r>
          </w:p>
          <w:p w:rsidR="000A7639" w:rsidRPr="00CB0004" w:rsidRDefault="003818EC" w:rsidP="003818EC">
            <w:pPr>
              <w:pStyle w:val="a3"/>
              <w:ind w:left="33"/>
              <w:jc w:val="center"/>
              <w:rPr>
                <w:rFonts w:eastAsiaTheme="minorHAnsi" w:cs="TH SarabunPSK"/>
                <w:sz w:val="28"/>
                <w:szCs w:val="28"/>
                <w:highlight w:val="cyan"/>
                <w:cs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๒) ระบบป้องกันทางไซเบอร์ที่มีประสิทธิภาพ สามารถปกป้องข้อมูลอิเล็กทรอนิกส์ของรัฐบาล ตลอดจนโครงสร้างพื้นฐานสำคัญด้านไซเบอร์ หรือตาม</w:t>
            </w:r>
            <w:r w:rsidRPr="00CB0004">
              <w:rPr>
                <w:rFonts w:cs="TH SarabunPSK"/>
                <w:sz w:val="28"/>
                <w:szCs w:val="28"/>
                <w:highlight w:val="cyan"/>
              </w:rPr>
              <w:t xml:space="preserve">: </w:t>
            </w: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แผนความมั่นคงปลอดภัยไซเบอร์แห่งชาติ</w:t>
            </w:r>
          </w:p>
        </w:tc>
      </w:tr>
      <w:tr w:rsidR="000D2F97" w:rsidRPr="00CB0004" w:rsidTr="00CB0004">
        <w:trPr>
          <w:trHeight w:val="1788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CB0004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CB0004"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7A6400" w:rsidRPr="00CB0004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CB0004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ปี๖๒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3818EC">
            <w:pPr>
              <w:pStyle w:val="a3"/>
              <w:ind w:left="33"/>
              <w:jc w:val="center"/>
              <w:rPr>
                <w:rFonts w:eastAsiaTheme="minorHAnsi" w:cs="TH SarabunPSK"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  <w:cs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CB0004" w:rsidRDefault="003818EC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CB0004">
              <w:rPr>
                <w:rFonts w:cs="TH SarabunPSK"/>
                <w:sz w:val="28"/>
                <w:szCs w:val="28"/>
                <w:highlight w:val="cyan"/>
                <w:cs/>
              </w:rPr>
              <w:t>โครงการตามแผนความมั่นคงปลอดภัยไซเบอร์แห่งชาติ</w:t>
            </w:r>
            <w:r w:rsidRPr="00CB0004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หรือแผนปฏิบัติราชการของหน่วยงานที่เกี่ยวข้อง</w:t>
            </w:r>
          </w:p>
        </w:tc>
      </w:tr>
      <w:tr w:rsidR="00CB0004" w:rsidRPr="00CB0004" w:rsidTr="00CB0004">
        <w:trPr>
          <w:trHeight w:val="141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04" w:rsidRPr="00CB0004" w:rsidRDefault="00CB0004" w:rsidP="00CB000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B0004" w:rsidRPr="00CB0004" w:rsidRDefault="00CB0004" w:rsidP="00CB000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CB0004"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ปี๖๓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Pr="00CB0004" w:rsidRDefault="005B2540" w:rsidP="00CB000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CB0004" w:rsidRPr="00CB0004" w:rsidTr="00CB0004">
        <w:trPr>
          <w:trHeight w:val="153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04" w:rsidRPr="00CB0004" w:rsidRDefault="00CB0004" w:rsidP="00CB000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B0004" w:rsidRPr="00CB0004" w:rsidRDefault="00CB0004" w:rsidP="00CB000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CB0004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ปี๖๔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CB0004" w:rsidRPr="00CB0004" w:rsidTr="00CB0004">
        <w:trPr>
          <w:trHeight w:val="170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04" w:rsidRPr="00CB0004" w:rsidRDefault="00CB0004" w:rsidP="00CB000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CB0004" w:rsidRPr="00CB0004" w:rsidRDefault="00CB0004" w:rsidP="00CB0004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CB0004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ปี๖๕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bookmarkStart w:id="0" w:name="_GoBack"/>
            <w:bookmarkEnd w:id="0"/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04" w:rsidRDefault="005B2540" w:rsidP="00CB0004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1A207E" w:rsidRPr="008D7905" w:rsidRDefault="006E4913" w:rsidP="000D2F97">
      <w:pPr>
        <w:spacing w:after="0" w:line="240" w:lineRule="auto"/>
        <w:ind w:left="1276" w:hanging="142"/>
        <w:jc w:val="both"/>
        <w:rPr>
          <w:rFonts w:ascii="TH SarabunPSK" w:hAnsi="TH SarabunPSK" w:cs="TH SarabunPSK"/>
          <w:b/>
          <w:bCs/>
          <w:sz w:val="28"/>
        </w:rPr>
      </w:pPr>
      <w:r w:rsidRPr="006E4913">
        <w:rPr>
          <w:rFonts w:ascii="TH SarabunPSK" w:hAnsi="TH SarabunPSK" w:cs="TH SarabunPSK"/>
          <w:noProof/>
          <w:sz w:val="28"/>
        </w:rPr>
        <w:pict>
          <v:oval id="_x0000_s1276" style="position:absolute;left:0;text-align:left;margin-left:120.8pt;margin-top:16.25pt;width:12.9pt;height:12.25pt;z-index:251934720;mso-position-horizontal-relative:text;mso-position-vertical-relative:text" fillcolor="#92d050"/>
        </w:pict>
      </w:r>
      <w:r w:rsidRPr="006E4913">
        <w:rPr>
          <w:rFonts w:ascii="TH SarabunPSK" w:hAnsi="TH SarabunPSK" w:cs="TH SarabunPSK"/>
          <w:noProof/>
          <w:sz w:val="28"/>
        </w:rPr>
        <w:pict>
          <v:oval id="_x0000_s1277" style="position:absolute;left:0;text-align:left;margin-left:329.75pt;margin-top:16.25pt;width:12.9pt;height:12.25pt;z-index:251935744;mso-position-horizontal-relative:text;mso-position-vertical-relative:text" fillcolor="#00b0f0"/>
        </w:pict>
      </w:r>
      <w:r w:rsidRPr="006E4913">
        <w:rPr>
          <w:rFonts w:ascii="TH SarabunPSK" w:hAnsi="TH SarabunPSK" w:cs="TH SarabunPSK"/>
          <w:noProof/>
          <w:sz w:val="28"/>
        </w:rPr>
        <w:pict>
          <v:oval id="_x0000_s1278" style="position:absolute;left:0;text-align:left;margin-left:539.45pt;margin-top:16.25pt;width:12.9pt;height:12.25pt;z-index:251936768;mso-position-horizontal-relative:text;mso-position-vertical-relative:text" fillcolor="yellow"/>
        </w:pict>
      </w:r>
      <w:r w:rsidRPr="006E4913">
        <w:rPr>
          <w:rFonts w:ascii="TH SarabunPSK" w:hAnsi="TH SarabunPSK" w:cs="TH SarabunPSK"/>
          <w:noProof/>
          <w:sz w:val="28"/>
        </w:rPr>
        <w:pict>
          <v:oval id="_x0000_s1275" style="position:absolute;left:0;text-align:left;margin-left:120.8pt;margin-top:15.3pt;width:12.9pt;height:12.25pt;z-index:251933696;mso-position-horizontal-relative:text;mso-position-vertical-relative:text" fillcolor="#7030a0"/>
        </w:pict>
      </w:r>
      <w:r w:rsidR="001A207E" w:rsidRPr="00CB0004">
        <w:rPr>
          <w:rFonts w:ascii="TH SarabunPSK" w:hAnsi="TH SarabunPSK" w:cs="TH SarabunPSK"/>
          <w:b/>
          <w:bCs/>
          <w:sz w:val="28"/>
          <w:cs/>
        </w:rPr>
        <w:t xml:space="preserve">การแบ่งมอบ </w:t>
      </w:r>
      <w:r w:rsidR="001A207E" w:rsidRPr="00CB0004">
        <w:rPr>
          <w:rFonts w:ascii="TH SarabunPSK" w:hAnsi="TH SarabunPSK" w:cs="TH SarabunPSK"/>
          <w:b/>
          <w:bCs/>
          <w:sz w:val="28"/>
        </w:rPr>
        <w:t xml:space="preserve">: </w:t>
      </w:r>
      <w:r w:rsidR="001A207E" w:rsidRPr="00CB0004">
        <w:rPr>
          <w:rFonts w:ascii="TH SarabunPSK" w:hAnsi="TH SarabunPSK" w:cs="TH SarabunPSK"/>
          <w:b/>
          <w:bCs/>
          <w:sz w:val="28"/>
          <w:cs/>
        </w:rPr>
        <w:tab/>
      </w:r>
      <w:r w:rsidR="001A207E" w:rsidRPr="00CB0004">
        <w:rPr>
          <w:rFonts w:ascii="TH SarabunPSK" w:hAnsi="TH SarabunPSK" w:cs="TH SarabunPSK"/>
          <w:sz w:val="28"/>
          <w:cs/>
        </w:rPr>
        <w:t>แบ่งมอบตามแผนแม่บทฯ ประเด็นความมั่นคง</w:t>
      </w:r>
      <w:r w:rsidR="001A207E" w:rsidRPr="00CB0004">
        <w:rPr>
          <w:rFonts w:ascii="TH SarabunPSK" w:hAnsi="TH SarabunPSK" w:cs="TH SarabunPSK"/>
          <w:sz w:val="28"/>
          <w:cs/>
        </w:rPr>
        <w:tab/>
      </w:r>
      <w:r w:rsidR="001A207E" w:rsidRPr="00CB0004">
        <w:rPr>
          <w:rFonts w:ascii="TH SarabunPSK" w:hAnsi="TH SarabunPSK" w:cs="TH SarabunPSK"/>
          <w:sz w:val="28"/>
          <w:cs/>
        </w:rPr>
        <w:tab/>
        <w:t>แบ่งมอบตามนโยบายและแผนระดับชาติฯ</w:t>
      </w:r>
      <w:r w:rsidR="001A207E" w:rsidRPr="00CB0004">
        <w:rPr>
          <w:rFonts w:ascii="TH SarabunPSK" w:hAnsi="TH SarabunPSK" w:cs="TH SarabunPSK"/>
          <w:sz w:val="28"/>
          <w:cs/>
        </w:rPr>
        <w:tab/>
      </w:r>
      <w:r w:rsidR="001A207E" w:rsidRPr="00CB0004">
        <w:rPr>
          <w:rFonts w:ascii="TH SarabunPSK" w:hAnsi="TH SarabunPSK" w:cs="TH SarabunPSK"/>
          <w:sz w:val="28"/>
          <w:cs/>
        </w:rPr>
        <w:tab/>
        <w:t>แบ่งมอบตามมติคณะกรรมการยุทธศาสตร์ชาติ</w:t>
      </w:r>
      <w:r w:rsidR="001A207E" w:rsidRPr="00CB0004">
        <w:rPr>
          <w:rFonts w:ascii="TH SarabunPSK" w:hAnsi="TH SarabunPSK" w:cs="TH SarabunPSK"/>
          <w:sz w:val="28"/>
        </w:rPr>
        <w:t xml:space="preserve"> </w:t>
      </w:r>
    </w:p>
    <w:p w:rsidR="00DE1540" w:rsidRDefault="001A207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CB0004">
        <w:rPr>
          <w:rFonts w:ascii="TH SarabunPSK" w:hAnsi="TH SarabunPSK" w:cs="TH SarabunPSK"/>
          <w:sz w:val="28"/>
          <w:cs/>
        </w:rPr>
        <w:tab/>
      </w:r>
      <w:r w:rsidR="000D2F97" w:rsidRPr="00CB0004">
        <w:rPr>
          <w:rFonts w:ascii="TH SarabunPSK" w:hAnsi="TH SarabunPSK" w:cs="TH SarabunPSK"/>
          <w:sz w:val="28"/>
          <w:cs/>
        </w:rPr>
        <w:tab/>
      </w:r>
      <w:r w:rsidR="000D2F97" w:rsidRPr="00CB0004">
        <w:rPr>
          <w:rFonts w:ascii="TH SarabunPSK" w:hAnsi="TH SarabunPSK" w:cs="TH SarabunPSK"/>
          <w:sz w:val="28"/>
          <w:cs/>
        </w:rPr>
        <w:tab/>
      </w:r>
      <w:r w:rsidR="000D2F97" w:rsidRPr="00CB0004">
        <w:rPr>
          <w:rFonts w:ascii="TH SarabunPSK" w:hAnsi="TH SarabunPSK" w:cs="TH SarabunPSK"/>
          <w:sz w:val="28"/>
          <w:cs/>
        </w:rPr>
        <w:tab/>
      </w:r>
      <w:r w:rsidRPr="00CB0004">
        <w:rPr>
          <w:rFonts w:ascii="TH SarabunPSK" w:hAnsi="TH SarabunPSK" w:cs="TH SarabunPSK"/>
          <w:sz w:val="28"/>
          <w:cs/>
        </w:rPr>
        <w:t>แบ่งมอบเพิ่มเติมโดยมติคณะกรรมการ</w:t>
      </w:r>
      <w:proofErr w:type="spellStart"/>
      <w:r w:rsidRPr="00CB0004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CB0004">
        <w:rPr>
          <w:rFonts w:ascii="TH SarabunPSK" w:hAnsi="TH SarabunPSK" w:cs="TH SarabunPSK"/>
          <w:sz w:val="28"/>
          <w:cs/>
        </w:rPr>
        <w:t>การขับเคลื่อนยุทธศาสตร์ชาติด้านความมั่นคง และคณะกรรมการขับเคลื่อนแผนแม่บทฯ ประเด็นความมั่นคง</w:t>
      </w:r>
      <w:r w:rsidRPr="00CB0004">
        <w:rPr>
          <w:rFonts w:ascii="TH SarabunPSK" w:hAnsi="TH SarabunPSK" w:cs="TH SarabunPSK"/>
          <w:sz w:val="28"/>
        </w:rPr>
        <w:t xml:space="preserve"> </w:t>
      </w:r>
      <w:r w:rsidRPr="00CB0004">
        <w:rPr>
          <w:rFonts w:ascii="TH SarabunPSK" w:hAnsi="TH SarabunPSK" w:cs="TH SarabunPSK"/>
          <w:sz w:val="28"/>
          <w:cs/>
        </w:rPr>
        <w:t>และนโยบายและแผนระดับชาติฯ</w:t>
      </w:r>
    </w:p>
    <w:p w:rsidR="008D7905" w:rsidRPr="008D7905" w:rsidRDefault="00AF4AB3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D790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8D7905">
        <w:rPr>
          <w:rFonts w:ascii="TH SarabunPSK" w:hAnsi="TH SarabunPSK" w:cs="TH SarabunPSK"/>
          <w:sz w:val="28"/>
          <w:cs/>
        </w:rPr>
        <w:t xml:space="preserve"> </w:t>
      </w:r>
      <w:r w:rsidR="008D7905">
        <w:rPr>
          <w:rFonts w:ascii="TH SarabunPSK" w:hAnsi="TH SarabunPSK" w:cs="TH SarabunPSK"/>
          <w:sz w:val="28"/>
        </w:rPr>
        <w:t xml:space="preserve">: </w:t>
      </w:r>
      <w:r w:rsidR="008D7905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8D7905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8D7905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r w:rsidR="008D7905">
        <w:rPr>
          <w:rFonts w:ascii="TH SarabunPSK" w:hAnsi="TH SarabunPSK" w:cs="TH SarabunPSK"/>
          <w:sz w:val="28"/>
        </w:rPr>
        <w:t>email : nscpopl@hotmail.com</w:t>
      </w:r>
    </w:p>
    <w:sectPr w:rsidR="008D7905" w:rsidRPr="008D7905" w:rsidSect="000D2F97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D2F97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3377C0"/>
    <w:rsid w:val="00340834"/>
    <w:rsid w:val="00351BF5"/>
    <w:rsid w:val="00365CF7"/>
    <w:rsid w:val="003734A4"/>
    <w:rsid w:val="003818EC"/>
    <w:rsid w:val="00382C96"/>
    <w:rsid w:val="003A0388"/>
    <w:rsid w:val="003B010A"/>
    <w:rsid w:val="003F6221"/>
    <w:rsid w:val="00422F77"/>
    <w:rsid w:val="0043320D"/>
    <w:rsid w:val="004464F7"/>
    <w:rsid w:val="0045212E"/>
    <w:rsid w:val="004569F9"/>
    <w:rsid w:val="004578EF"/>
    <w:rsid w:val="00475735"/>
    <w:rsid w:val="004932BD"/>
    <w:rsid w:val="00496F97"/>
    <w:rsid w:val="004D22C9"/>
    <w:rsid w:val="004D6DA4"/>
    <w:rsid w:val="00550269"/>
    <w:rsid w:val="00561712"/>
    <w:rsid w:val="00580649"/>
    <w:rsid w:val="005B2540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13FC"/>
    <w:rsid w:val="00695067"/>
    <w:rsid w:val="006B320C"/>
    <w:rsid w:val="006E225C"/>
    <w:rsid w:val="006E4913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A0579"/>
    <w:rsid w:val="007A6400"/>
    <w:rsid w:val="008036A0"/>
    <w:rsid w:val="0080751F"/>
    <w:rsid w:val="008307BE"/>
    <w:rsid w:val="008636C9"/>
    <w:rsid w:val="008825CC"/>
    <w:rsid w:val="008936B2"/>
    <w:rsid w:val="008A6CB8"/>
    <w:rsid w:val="008C158F"/>
    <w:rsid w:val="008D6373"/>
    <w:rsid w:val="008D7905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30D04"/>
    <w:rsid w:val="00A3102C"/>
    <w:rsid w:val="00A63A7E"/>
    <w:rsid w:val="00AA5221"/>
    <w:rsid w:val="00AA6D01"/>
    <w:rsid w:val="00AD14E3"/>
    <w:rsid w:val="00AF25AA"/>
    <w:rsid w:val="00AF4AB3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B0004"/>
    <w:rsid w:val="00CD10D3"/>
    <w:rsid w:val="00CD3AD6"/>
    <w:rsid w:val="00CD3C3D"/>
    <w:rsid w:val="00CD7CEF"/>
    <w:rsid w:val="00D21D4A"/>
    <w:rsid w:val="00D35654"/>
    <w:rsid w:val="00D450CA"/>
    <w:rsid w:val="00D916C6"/>
    <w:rsid w:val="00DC0CA2"/>
    <w:rsid w:val="00DE1540"/>
    <w:rsid w:val="00DE4B17"/>
    <w:rsid w:val="00DF0DB0"/>
    <w:rsid w:val="00EB3B37"/>
    <w:rsid w:val="00ED01D0"/>
    <w:rsid w:val="00EE5585"/>
    <w:rsid w:val="00EE6CBF"/>
    <w:rsid w:val="00EE7A01"/>
    <w:rsid w:val="00F1034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3674-4D94-4AC4-B5CB-2FA47E5D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2019-11-06T05:18:00Z</cp:lastPrinted>
  <dcterms:created xsi:type="dcterms:W3CDTF">2020-02-03T14:12:00Z</dcterms:created>
  <dcterms:modified xsi:type="dcterms:W3CDTF">2020-02-06T04:59:00Z</dcterms:modified>
</cp:coreProperties>
</file>