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604293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604293">
        <w:rPr>
          <w:rFonts w:cs="TH SarabunPSK"/>
          <w:b/>
          <w:bCs/>
          <w:szCs w:val="32"/>
        </w:rPr>
        <w:t xml:space="preserve">: </w:t>
      </w:r>
      <w:r w:rsidR="00604293" w:rsidRPr="00FC59D9">
        <w:rPr>
          <w:rFonts w:eastAsiaTheme="minorHAnsi" w:cs="TH SarabunPSK"/>
          <w:b/>
          <w:bCs/>
          <w:szCs w:val="32"/>
          <w:cs/>
        </w:rPr>
        <w:t>การ</w:t>
      </w:r>
      <w:r w:rsidR="00FC59D9" w:rsidRPr="00FC59D9">
        <w:rPr>
          <w:rFonts w:cs="TH SarabunPSK"/>
          <w:b/>
          <w:bCs/>
          <w:szCs w:val="32"/>
          <w:cs/>
        </w:rPr>
        <w:t>ปกป้องอธิ</w:t>
      </w:r>
      <w:r w:rsidR="00F35B63">
        <w:rPr>
          <w:rFonts w:cs="TH SarabunPSK"/>
          <w:b/>
          <w:bCs/>
          <w:szCs w:val="32"/>
          <w:cs/>
        </w:rPr>
        <w:t>ปไตยและผลประโยชน์ของชาติ</w:t>
      </w:r>
      <w:r w:rsidR="00F35B63">
        <w:rPr>
          <w:rFonts w:cs="TH SarabunPSK" w:hint="cs"/>
          <w:b/>
          <w:bCs/>
          <w:szCs w:val="32"/>
          <w:cs/>
        </w:rPr>
        <w:t>ทางทะเล</w:t>
      </w:r>
      <w:r w:rsidR="00FC59D9">
        <w:rPr>
          <w:rFonts w:cs="TH SarabunPSK" w:hint="cs"/>
          <w:b/>
          <w:bCs/>
          <w:szCs w:val="32"/>
          <w:cs/>
        </w:rPr>
        <w:t xml:space="preserve"> </w:t>
      </w:r>
      <w:r w:rsidR="00604293"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382C96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:rsidR="00AB2188" w:rsidRPr="00F10348" w:rsidRDefault="00AB2188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1453" w:type="dxa"/>
        <w:tblInd w:w="1477" w:type="dxa"/>
        <w:tblLayout w:type="fixed"/>
        <w:tblLook w:val="04A0"/>
      </w:tblPr>
      <w:tblGrid>
        <w:gridCol w:w="1750"/>
        <w:gridCol w:w="992"/>
        <w:gridCol w:w="2552"/>
        <w:gridCol w:w="2551"/>
        <w:gridCol w:w="3260"/>
        <w:gridCol w:w="2552"/>
        <w:gridCol w:w="2551"/>
        <w:gridCol w:w="2552"/>
        <w:gridCol w:w="2693"/>
      </w:tblGrid>
      <w:tr w:rsidR="000A7639" w:rsidRPr="00990C89" w:rsidTr="00AB2188">
        <w:trPr>
          <w:trHeight w:val="588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A7639" w:rsidRPr="00F10348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8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Pr="0011594E" w:rsidRDefault="00051AE2" w:rsidP="0043320D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1AE2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324" style="position:absolute;left:0;text-align:left;margin-left:552.55pt;margin-top:17.75pt;width:12.9pt;height:12.25pt;z-index:251994112;mso-position-horizontal-relative:text;mso-position-vertical-relative:text" fillcolor="#92d050"/>
              </w:pic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="0043320D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</w:p>
          <w:p w:rsidR="000A7639" w:rsidRPr="008D6373" w:rsidRDefault="0043320D" w:rsidP="0043320D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cs="TH SarabunPSK" w:hint="cs"/>
                <w:sz w:val="28"/>
                <w:szCs w:val="28"/>
                <w:cs/>
              </w:rPr>
              <w:t>กอ.</w:t>
            </w:r>
            <w:proofErr w:type="spellStart"/>
            <w:r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>
              <w:rPr>
                <w:rFonts w:eastAsiaTheme="minorHAnsi" w:cs="TH SarabunPSK" w:hint="cs"/>
                <w:sz w:val="28"/>
                <w:szCs w:val="28"/>
                <w:cs/>
              </w:rPr>
              <w:t xml:space="preserve"> ศรชล. และ </w:t>
            </w:r>
            <w:proofErr w:type="spellStart"/>
            <w:r w:rsidRPr="00793D91">
              <w:rPr>
                <w:rFonts w:eastAsiaTheme="minorHAnsi" w:cs="TH SarabunPSK" w:hint="cs"/>
                <w:sz w:val="28"/>
                <w:szCs w:val="28"/>
                <w:cs/>
              </w:rPr>
              <w:t>กห.</w:t>
            </w:r>
            <w:proofErr w:type="spellEnd"/>
          </w:p>
        </w:tc>
      </w:tr>
      <w:tr w:rsidR="000A7639" w:rsidRPr="00990C89" w:rsidTr="00AB2188">
        <w:trPr>
          <w:trHeight w:val="682"/>
        </w:trPr>
        <w:tc>
          <w:tcPr>
            <w:tcW w:w="2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A7639" w:rsidRPr="0094714F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94714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8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BB0797">
              <w:rPr>
                <w:rFonts w:cs="TH SarabunPSK"/>
                <w:sz w:val="24"/>
                <w:szCs w:val="24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Pr="00BB0797">
              <w:rPr>
                <w:rFonts w:cs="TH SarabunPSK" w:hint="cs"/>
                <w:sz w:val="24"/>
                <w:szCs w:val="24"/>
                <w:cs/>
              </w:rPr>
              <w:t>า</w:t>
            </w:r>
            <w:r w:rsidRPr="00BB0797">
              <w:rPr>
                <w:rFonts w:cs="TH SarabunPSK"/>
                <w:sz w:val="24"/>
                <w:szCs w:val="24"/>
                <w:cs/>
              </w:rPr>
              <w:t>ประเทศ</w:t>
            </w:r>
          </w:p>
          <w:p w:rsidR="0043320D" w:rsidRDefault="00051AE2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1AE2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25" style="position:absolute;left:0;text-align:left;margin-left:504.35pt;margin-top:15.75pt;width:12.9pt;height:12.25pt;z-index:251996160" fillcolor="yellow"/>
              </w:pic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4"/>
                <w:szCs w:val="24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</w:p>
          <w:p w:rsidR="000A7639" w:rsidRPr="005F5456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สม</w:t>
            </w:r>
            <w:r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ช.</w:t>
            </w:r>
            <w:proofErr w:type="spellEnd"/>
          </w:p>
        </w:tc>
      </w:tr>
      <w:tr w:rsidR="00FC59D9" w:rsidRPr="00990C89" w:rsidTr="00AB2188">
        <w:trPr>
          <w:trHeight w:val="682"/>
        </w:trPr>
        <w:tc>
          <w:tcPr>
            <w:tcW w:w="2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9D9" w:rsidRPr="00F10348" w:rsidRDefault="00FC59D9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Default="00FC59D9" w:rsidP="008C3C3D">
            <w:pPr>
              <w:tabs>
                <w:tab w:val="left" w:pos="1843"/>
              </w:tabs>
              <w:spacing w:before="120" w:line="340" w:lineRule="exact"/>
              <w:ind w:hanging="6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="00F35B63" w:rsidRPr="00F35B63">
              <w:rPr>
                <w:rFonts w:ascii="TH SarabunPSK" w:hAnsi="TH SarabunPSK" w:cs="TH SarabunPSK"/>
                <w:sz w:val="24"/>
                <w:szCs w:val="24"/>
                <w:cs/>
              </w:rPr>
              <w:t>(๑) การ</w:t>
            </w:r>
            <w:r w:rsidR="00F35B63" w:rsidRPr="00F35B63">
              <w:rPr>
                <w:rFonts w:ascii="TH SarabunPSK" w:eastAsia="Times New Roman" w:hAnsi="TH SarabunPSK" w:cs="TH SarabunPSK"/>
                <w:spacing w:val="-4"/>
                <w:sz w:val="24"/>
                <w:szCs w:val="24"/>
                <w:cs/>
              </w:rPr>
              <w:t>จัดการ</w:t>
            </w:r>
            <w:r w:rsidR="00F35B63" w:rsidRPr="00F35B63">
              <w:rPr>
                <w:rFonts w:ascii="TH SarabunPSK" w:hAnsi="TH SarabunPSK" w:cs="TH SarabunPSK"/>
                <w:sz w:val="24"/>
                <w:szCs w:val="24"/>
                <w:cs/>
              </w:rPr>
              <w:t>กับภัยคุกคามด้านความมั่นคงทางทะเลด้วยแนวคิดเชิงป้องกันและป้องปราม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spacing w:val="-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</w:t>
            </w:r>
            <w:r w:rsidRPr="00FC59D9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>:</w:t>
            </w:r>
            <w:r w:rsidRPr="00FC59D9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="00F35B63" w:rsidRPr="00F35B63">
              <w:rPr>
                <w:rFonts w:ascii="TH SarabunPSK" w:hAnsi="TH SarabunPSK" w:cs="TH SarabunPSK"/>
                <w:sz w:val="24"/>
                <w:szCs w:val="24"/>
                <w:cs/>
              </w:rPr>
              <w:t>(๒) การเฝ้าระวังและตรวจการณ์ทางทะเลในทุกมิติอย่างมีประสิทธิภาพ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FC59D9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C59D9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="00F35B6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35B63" w:rsidRPr="00F35B63">
              <w:rPr>
                <w:rFonts w:ascii="TH SarabunPSK" w:hAnsi="TH SarabunPSK" w:cs="TH SarabunPSK"/>
                <w:sz w:val="24"/>
                <w:szCs w:val="24"/>
                <w:cs/>
              </w:rPr>
              <w:t>(๓) การแก้ไขปัญหาเขตแดนทั้งทางทะเลกับประเทศเพื่อนบ้านอย่างสันติวิธี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spacing w:val="-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="00F35B63" w:rsidRPr="00F35B63">
              <w:rPr>
                <w:rFonts w:ascii="TH SarabunPSK" w:hAnsi="TH SarabunPSK" w:cs="TH SarabunPSK"/>
                <w:sz w:val="24"/>
                <w:szCs w:val="24"/>
                <w:cs/>
              </w:rPr>
              <w:t>(๔) การสร้างความสัมพันธ์และความร่วมมือระหว่างกองทัพเรือไทยกับกองทัพเรือของประเทศเพื่อนบ้าน มิตรประเทศ และมหาอำนาจ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spacing w:val="-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="00F35B63" w:rsidRPr="00F35B63">
              <w:rPr>
                <w:rFonts w:ascii="TH SarabunPSK" w:hAnsi="TH SarabunPSK" w:cs="TH SarabunPSK"/>
                <w:sz w:val="24"/>
                <w:szCs w:val="24"/>
                <w:cs/>
              </w:rPr>
              <w:t>(๕) การแสวงหาและใช้ประโยชน์จากความร่วมมือระหว่างประเทศในการรับมือกับภัยคุกคามความมั่นคง อย่างมีประสิทธิภาพ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spacing w:val="-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</w:t>
            </w:r>
            <w:r w:rsidRPr="00FC59D9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>:</w:t>
            </w:r>
            <w:r w:rsidR="00F35B6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35B63" w:rsidRPr="00F35B63">
              <w:rPr>
                <w:rFonts w:ascii="TH SarabunPSK" w:hAnsi="TH SarabunPSK" w:cs="TH SarabunPSK"/>
                <w:sz w:val="24"/>
                <w:szCs w:val="24"/>
                <w:cs/>
              </w:rPr>
              <w:t>(๖) การบังคับใช้กฎหมายทางทะเลอย่างเคร่งครัด ให้สอดคล้องกับกฎหมาย</w:t>
            </w:r>
            <w:r w:rsidR="00F35B63" w:rsidRPr="00F35B6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35B63" w:rsidRPr="00F35B63">
              <w:rPr>
                <w:rFonts w:ascii="TH SarabunPSK" w:hAnsi="TH SarabunPSK" w:cs="TH SarabunPSK"/>
                <w:sz w:val="24"/>
                <w:szCs w:val="24"/>
                <w:cs/>
              </w:rPr>
              <w:t>และพันธกรณีระหว่างประเทศ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D9" w:rsidRPr="00FC59D9" w:rsidRDefault="00FC59D9" w:rsidP="00F35B63">
            <w:pPr>
              <w:tabs>
                <w:tab w:val="left" w:pos="1843"/>
              </w:tabs>
              <w:spacing w:before="120" w:line="340" w:lineRule="exact"/>
              <w:ind w:firstLine="34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="00F35B63" w:rsidRPr="0011594E">
              <w:rPr>
                <w:cs/>
              </w:rPr>
              <w:t>(</w:t>
            </w:r>
            <w:r w:rsidR="00F35B63" w:rsidRPr="00F35B6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๗) การรณรงค์ให้ความรู้ การศึกษา และการประชาสัมพันธ์กับประชาชน และผู้มีส่วนได้เสียรวมทั้งเปิดโอกาสให้เข้ามามีส่วนร่วมในการปกป้องและรักษาความมั่นคงและผลประโยชน์ของชาติทางทะเล </w:t>
            </w:r>
          </w:p>
        </w:tc>
      </w:tr>
      <w:tr w:rsidR="000A7639" w:rsidRPr="00990C89" w:rsidTr="00AB2188">
        <w:trPr>
          <w:trHeight w:val="630"/>
        </w:trPr>
        <w:tc>
          <w:tcPr>
            <w:tcW w:w="2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AB5262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AB5262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0A7639" w:rsidRPr="00AB5262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AB5262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AB5262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แผนปฏิบัติการด้าน....</w:t>
            </w:r>
          </w:p>
          <w:p w:rsidR="000A7639" w:rsidRPr="00AB5262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18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AB5262" w:rsidRDefault="00FC59D9" w:rsidP="00FC59D9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AB5262">
              <w:rPr>
                <w:rFonts w:eastAsiaTheme="minorHAnsi" w:cs="TH SarabunPSK"/>
                <w:sz w:val="24"/>
                <w:szCs w:val="24"/>
                <w:highlight w:val="cyan"/>
                <w:u w:val="single"/>
                <w:cs/>
              </w:rPr>
              <w:t xml:space="preserve">แผน </w:t>
            </w:r>
            <w:r w:rsidRPr="00AB5262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AB5262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๒๕๖๕) </w:t>
            </w:r>
          </w:p>
          <w:p w:rsidR="000A7639" w:rsidRPr="00AB5262" w:rsidRDefault="00051AE2" w:rsidP="000A763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</w:pPr>
            <w:r w:rsidRPr="00051AE2">
              <w:rPr>
                <w:rFonts w:ascii="TH SarabunPSK" w:hAnsi="TH SarabunPSK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323" style="position:absolute;left:0;text-align:left;margin-left:511.8pt;margin-top:2.2pt;width:12.9pt;height:12.25pt;z-index:251992064" fillcolor="#92d050"/>
              </w:pict>
            </w:r>
            <w:r w:rsidR="000A7639" w:rsidRPr="00AB5262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="000A7639" w:rsidRPr="00AB5262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: </w:t>
            </w:r>
            <w:proofErr w:type="spellStart"/>
            <w:r w:rsidR="00FC59D9" w:rsidRPr="00AB5262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กห</w:t>
            </w:r>
            <w:r w:rsidR="00F77FCE" w:rsidRPr="00AB5262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.</w:t>
            </w:r>
            <w:proofErr w:type="spellEnd"/>
          </w:p>
        </w:tc>
      </w:tr>
      <w:tr w:rsidR="000A7639" w:rsidRPr="00990C89" w:rsidTr="00AB2188">
        <w:trPr>
          <w:trHeight w:val="630"/>
        </w:trPr>
        <w:tc>
          <w:tcPr>
            <w:tcW w:w="2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AB5262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8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AB5262" w:rsidRDefault="00FC59D9" w:rsidP="00FC59D9">
            <w:pPr>
              <w:pStyle w:val="Default"/>
              <w:rPr>
                <w:highlight w:val="cyan"/>
              </w:rPr>
            </w:pPr>
            <w:r w:rsidRPr="00AB5262">
              <w:rPr>
                <w:highlight w:val="cyan"/>
                <w:u w:val="single"/>
                <w:cs/>
              </w:rPr>
              <w:t>ตัวชี้วัด</w:t>
            </w:r>
            <w:r w:rsidRPr="00AB5262">
              <w:rPr>
                <w:highlight w:val="cyan"/>
                <w:cs/>
              </w:rPr>
              <w:t xml:space="preserve"> </w:t>
            </w:r>
            <w:r w:rsidRPr="00AB5262">
              <w:rPr>
                <w:highlight w:val="cyan"/>
              </w:rPr>
              <w:t xml:space="preserve">: </w:t>
            </w:r>
            <w:r w:rsidRPr="00AB5262">
              <w:rPr>
                <w:highlight w:val="cyan"/>
                <w:cs/>
              </w:rPr>
              <w:t>๑</w:t>
            </w:r>
            <w:r w:rsidRPr="00AB5262">
              <w:rPr>
                <w:highlight w:val="cyan"/>
              </w:rPr>
              <w:t xml:space="preserve">) </w:t>
            </w:r>
            <w:r w:rsidRPr="00AB5262">
              <w:rPr>
                <w:highlight w:val="cyan"/>
                <w:cs/>
              </w:rPr>
              <w:t>ความส</w:t>
            </w:r>
            <w:r w:rsidRPr="00AB5262">
              <w:rPr>
                <w:rFonts w:hint="cs"/>
                <w:highlight w:val="cyan"/>
                <w:cs/>
              </w:rPr>
              <w:t>ำ</w:t>
            </w:r>
            <w:r w:rsidRPr="00AB5262">
              <w:rPr>
                <w:highlight w:val="cyan"/>
                <w:cs/>
              </w:rPr>
              <w:t>เร็จในการเตรียมกองทัพรองรับภัยคุกคามทางทหารตามแผนของกองทัพ</w:t>
            </w:r>
            <w:r w:rsidRPr="00AB5262">
              <w:rPr>
                <w:highlight w:val="cyan"/>
              </w:rPr>
              <w:t xml:space="preserve"> </w:t>
            </w:r>
            <w:r w:rsidRPr="00AB5262">
              <w:rPr>
                <w:highlight w:val="cyan"/>
                <w:cs/>
              </w:rPr>
              <w:t>ที่ก</w:t>
            </w:r>
            <w:r w:rsidRPr="00AB5262">
              <w:rPr>
                <w:rFonts w:hint="cs"/>
                <w:highlight w:val="cyan"/>
                <w:cs/>
              </w:rPr>
              <w:t>ำ</w:t>
            </w:r>
            <w:r w:rsidRPr="00AB5262">
              <w:rPr>
                <w:highlight w:val="cyan"/>
                <w:cs/>
              </w:rPr>
              <w:t>หนด</w:t>
            </w:r>
            <w:r w:rsidRPr="00AB5262">
              <w:rPr>
                <w:highlight w:val="cyan"/>
              </w:rPr>
              <w:t xml:space="preserve"> </w:t>
            </w:r>
          </w:p>
          <w:p w:rsidR="000A7639" w:rsidRPr="00AB5262" w:rsidRDefault="00FC59D9" w:rsidP="00FC59D9">
            <w:pPr>
              <w:pStyle w:val="a3"/>
              <w:ind w:left="33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AB5262">
              <w:rPr>
                <w:rFonts w:cs="TH SarabunPSK"/>
                <w:sz w:val="24"/>
                <w:szCs w:val="24"/>
                <w:highlight w:val="cyan"/>
              </w:rPr>
              <w:t xml:space="preserve">           </w:t>
            </w:r>
            <w:r w:rsidRPr="00AB5262">
              <w:rPr>
                <w:rFonts w:cs="TH SarabunPSK"/>
                <w:sz w:val="24"/>
                <w:szCs w:val="24"/>
                <w:highlight w:val="cyan"/>
                <w:cs/>
              </w:rPr>
              <w:t>๒</w:t>
            </w:r>
            <w:r w:rsidRPr="00AB5262">
              <w:rPr>
                <w:rFonts w:cs="TH SarabunPSK"/>
                <w:sz w:val="24"/>
                <w:szCs w:val="24"/>
                <w:highlight w:val="cyan"/>
              </w:rPr>
              <w:t xml:space="preserve">) </w:t>
            </w:r>
            <w:r w:rsidRPr="00AB5262">
              <w:rPr>
                <w:rFonts w:cs="TH SarabunPSK"/>
                <w:sz w:val="24"/>
                <w:szCs w:val="24"/>
                <w:highlight w:val="cyan"/>
                <w:cs/>
              </w:rPr>
              <w:t>ความส</w:t>
            </w: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AB5262">
              <w:rPr>
                <w:rFonts w:cs="TH SarabunPSK"/>
                <w:sz w:val="24"/>
                <w:szCs w:val="24"/>
                <w:highlight w:val="cyan"/>
                <w:cs/>
              </w:rPr>
              <w:t>เร็จของระบบก</w:t>
            </w: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AB5262">
              <w:rPr>
                <w:rFonts w:cs="TH SarabunPSK"/>
                <w:sz w:val="24"/>
                <w:szCs w:val="24"/>
                <w:highlight w:val="cyan"/>
                <w:cs/>
              </w:rPr>
              <w:t>ลังส</w:t>
            </w: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AB5262">
              <w:rPr>
                <w:rFonts w:cs="TH SarabunPSK"/>
                <w:sz w:val="24"/>
                <w:szCs w:val="24"/>
                <w:highlight w:val="cyan"/>
                <w:cs/>
              </w:rPr>
              <w:t>รองและระบบระดมสรรพก</w:t>
            </w: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AB5262">
              <w:rPr>
                <w:rFonts w:cs="TH SarabunPSK"/>
                <w:sz w:val="24"/>
                <w:szCs w:val="24"/>
                <w:highlight w:val="cyan"/>
                <w:cs/>
              </w:rPr>
              <w:t>ลังตามแผนที่ก</w:t>
            </w: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>ำ</w:t>
            </w:r>
            <w:r w:rsidRPr="00AB5262">
              <w:rPr>
                <w:rFonts w:cs="TH SarabunPSK"/>
                <w:sz w:val="24"/>
                <w:szCs w:val="24"/>
                <w:highlight w:val="cyan"/>
                <w:cs/>
              </w:rPr>
              <w:t>หนด</w:t>
            </w:r>
            <w:r w:rsidRPr="00AB5262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 xml:space="preserve"> หรือตามแผน</w:t>
            </w: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AB5262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๒๕๖๕) (</w:t>
            </w:r>
            <w:proofErr w:type="spellStart"/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>กห.</w:t>
            </w:r>
            <w:proofErr w:type="spellEnd"/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>)</w:t>
            </w:r>
          </w:p>
        </w:tc>
      </w:tr>
      <w:tr w:rsidR="00FC59D9" w:rsidRPr="00990C89" w:rsidTr="00AB2188"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9D9" w:rsidRPr="00AB5262" w:rsidRDefault="00FC59D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AB526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AB5262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59D9" w:rsidRPr="00AB5262" w:rsidRDefault="00FC59D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AB526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AB5262" w:rsidRDefault="00FC59D9" w:rsidP="0069316D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AB5262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AB5262" w:rsidRDefault="00FC59D9" w:rsidP="0069316D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AB5262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AB5262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AB5262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AB5262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AB5262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AB5262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AB5262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AB5262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AB5262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D9" w:rsidRPr="00AB5262" w:rsidRDefault="00FC59D9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โครงการตามแผนแผนปฏิบัติการด้านการปกป้องอธิปไตยและรักษารักษาผลประโยชน์แห่งชาติ ระยะที่ ๑ (พ.ศ. ๒๕๖๑ </w:t>
            </w:r>
            <w:r w:rsidRPr="00AB5262">
              <w:rPr>
                <w:rFonts w:cs="TH SarabunPSK"/>
                <w:sz w:val="24"/>
                <w:szCs w:val="24"/>
                <w:highlight w:val="cyan"/>
                <w:cs/>
              </w:rPr>
              <w:t>–</w:t>
            </w:r>
            <w:r w:rsidRPr="00AB526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๒๕๖๕</w:t>
            </w:r>
          </w:p>
        </w:tc>
      </w:tr>
      <w:tr w:rsidR="00AB2188" w:rsidRPr="00990C89" w:rsidTr="00AB2188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188" w:rsidRPr="00AB5262" w:rsidRDefault="00AB2188" w:rsidP="00AB218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188" w:rsidRPr="00AB5262" w:rsidRDefault="00AB2188" w:rsidP="00AB218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AB5262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Pr="00AB5262" w:rsidRDefault="00AB2188" w:rsidP="00AB2188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</w:tr>
      <w:tr w:rsidR="00AB2188" w:rsidRPr="00990C89" w:rsidTr="00AB2188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188" w:rsidRPr="00AB5262" w:rsidRDefault="00AB2188" w:rsidP="00AB218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188" w:rsidRPr="00AB5262" w:rsidRDefault="00AB2188" w:rsidP="00AB218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AB526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</w:tr>
      <w:tr w:rsidR="00AB2188" w:rsidRPr="00990C89" w:rsidTr="00AB2188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188" w:rsidRPr="00AB5262" w:rsidRDefault="00AB2188" w:rsidP="00AB218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188" w:rsidRPr="00AB5262" w:rsidRDefault="00AB2188" w:rsidP="00AB218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AB526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E7F" w:rsidRDefault="009B0E7F" w:rsidP="009B0E7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2188" w:rsidRDefault="00AB2188" w:rsidP="00AB2188">
            <w:pPr>
              <w:jc w:val="center"/>
            </w:pPr>
          </w:p>
        </w:tc>
      </w:tr>
    </w:tbl>
    <w:p w:rsidR="00AB2188" w:rsidRDefault="00AB2188" w:rsidP="00AB2188">
      <w:pPr>
        <w:spacing w:after="0" w:line="240" w:lineRule="auto"/>
        <w:ind w:left="-993" w:firstLine="2411"/>
        <w:jc w:val="both"/>
        <w:rPr>
          <w:rFonts w:ascii="TH SarabunPSK" w:hAnsi="TH SarabunPSK" w:cs="TH SarabunPSK"/>
          <w:b/>
          <w:bCs/>
          <w:sz w:val="28"/>
        </w:rPr>
      </w:pPr>
    </w:p>
    <w:p w:rsidR="00AB2188" w:rsidRDefault="00051AE2" w:rsidP="00AB2188">
      <w:pPr>
        <w:spacing w:after="0" w:line="240" w:lineRule="auto"/>
        <w:ind w:left="-993" w:firstLine="2411"/>
        <w:jc w:val="both"/>
        <w:rPr>
          <w:rFonts w:ascii="TH SarabunPSK" w:hAnsi="TH SarabunPSK" w:cs="TH SarabunPSK"/>
          <w:b/>
          <w:bCs/>
          <w:sz w:val="28"/>
        </w:rPr>
      </w:pPr>
      <w:r w:rsidRPr="00051AE2">
        <w:rPr>
          <w:rFonts w:cs="TH SarabunPSK"/>
          <w:noProof/>
          <w:sz w:val="24"/>
          <w:szCs w:val="24"/>
        </w:rPr>
        <w:pict>
          <v:oval id="_x0000_s1276" style="position:absolute;left:0;text-align:left;margin-left:149.55pt;margin-top:18.5pt;width:12.9pt;height:12.25pt;z-index:251934720" fillcolor="#92d050"/>
        </w:pict>
      </w:r>
      <w:r w:rsidRPr="00051AE2">
        <w:rPr>
          <w:rFonts w:cs="TH SarabunPSK"/>
          <w:noProof/>
          <w:sz w:val="24"/>
          <w:szCs w:val="24"/>
        </w:rPr>
        <w:pict>
          <v:oval id="_x0000_s1277" style="position:absolute;left:0;text-align:left;margin-left:364.8pt;margin-top:18.5pt;width:12.9pt;height:12.25pt;z-index:251935744" fillcolor="#00b0f0"/>
        </w:pict>
      </w:r>
      <w:r w:rsidRPr="00051AE2">
        <w:rPr>
          <w:rFonts w:cs="TH SarabunPSK"/>
          <w:noProof/>
          <w:sz w:val="24"/>
          <w:szCs w:val="24"/>
        </w:rPr>
        <w:pict>
          <v:oval id="_x0000_s1278" style="position:absolute;left:0;text-align:left;margin-left:571.3pt;margin-top:18.5pt;width:12.9pt;height:12.25pt;z-index:251936768" fillcolor="yellow"/>
        </w:pict>
      </w:r>
    </w:p>
    <w:p w:rsidR="001A207E" w:rsidRPr="005F5456" w:rsidRDefault="001A207E" w:rsidP="00AB2188">
      <w:pPr>
        <w:spacing w:after="0" w:line="240" w:lineRule="auto"/>
        <w:ind w:left="-993" w:firstLine="2411"/>
        <w:jc w:val="both"/>
        <w:rPr>
          <w:rFonts w:ascii="TH SarabunPSK" w:hAnsi="TH SarabunPSK" w:cs="TH SarabunPSK"/>
          <w:sz w:val="28"/>
        </w:rPr>
      </w:pPr>
      <w:r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Pr="005F5456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AB2188">
        <w:rPr>
          <w:rFonts w:ascii="TH SarabunPSK" w:hAnsi="TH SarabunPSK" w:cs="TH SarabunPSK"/>
          <w:b/>
          <w:bCs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>
        <w:rPr>
          <w:rFonts w:ascii="TH SarabunPSK" w:hAnsi="TH SarabunPSK" w:cs="TH SarabunPSK" w:hint="cs"/>
          <w:sz w:val="28"/>
          <w:cs/>
        </w:rPr>
        <w:t>ม</w:t>
      </w:r>
      <w:r w:rsidRPr="005F5456">
        <w:rPr>
          <w:rFonts w:ascii="TH SarabunPSK" w:hAnsi="TH SarabunPSK" w:cs="TH SarabunPSK" w:hint="cs"/>
          <w:sz w:val="28"/>
          <w:cs/>
        </w:rPr>
        <w:t>มั่นคง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>
        <w:rPr>
          <w:rFonts w:ascii="TH SarabunPSK" w:hAnsi="TH SarabunPSK" w:cs="TH SarabunPSK" w:hint="cs"/>
          <w:sz w:val="28"/>
          <w:cs/>
        </w:rPr>
        <w:t>ฯ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>
        <w:rPr>
          <w:rFonts w:ascii="TH SarabunPSK" w:hAnsi="TH SarabunPSK" w:cs="TH SarabunPSK"/>
          <w:sz w:val="28"/>
        </w:rPr>
        <w:t xml:space="preserve"> </w:t>
      </w:r>
    </w:p>
    <w:p w:rsidR="00DE1540" w:rsidRDefault="00051AE2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051AE2">
        <w:rPr>
          <w:rFonts w:cs="TH SarabunPSK"/>
          <w:noProof/>
          <w:sz w:val="24"/>
          <w:szCs w:val="24"/>
        </w:rPr>
        <w:pict>
          <v:oval id="_x0000_s1275" style="position:absolute;margin-left:149.55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AB2188">
        <w:rPr>
          <w:rFonts w:ascii="TH SarabunPSK" w:hAnsi="TH SarabunPSK" w:cs="TH SarabunPSK"/>
          <w:sz w:val="28"/>
          <w:cs/>
        </w:rPr>
        <w:tab/>
      </w:r>
      <w:r w:rsidR="00AB2188">
        <w:rPr>
          <w:rFonts w:ascii="TH SarabunPSK" w:hAnsi="TH SarabunPSK" w:cs="TH SarabunPSK"/>
          <w:sz w:val="28"/>
          <w:cs/>
        </w:rPr>
        <w:tab/>
      </w:r>
      <w:r w:rsidR="00AB2188">
        <w:rPr>
          <w:rFonts w:ascii="TH SarabunPSK" w:hAnsi="TH SarabunPSK" w:cs="TH SarabunPSK"/>
          <w:sz w:val="28"/>
          <w:cs/>
        </w:rPr>
        <w:tab/>
      </w:r>
      <w:r w:rsidR="00AB2188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bookmarkStart w:id="0" w:name="_GoBack"/>
      <w:bookmarkEnd w:id="0"/>
    </w:p>
    <w:p w:rsidR="004A4939" w:rsidRDefault="004A4939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4A4939" w:rsidRDefault="004A4939" w:rsidP="004A49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>
        <w:rPr>
          <w:rFonts w:ascii="TH SarabunPSK" w:hAnsi="TH SarabunPSK" w:cs="TH SarabunPSK" w:hint="cs"/>
          <w:sz w:val="28"/>
          <w:cs/>
        </w:rPr>
        <w:t>สมช.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>
        <w:rPr>
          <w:rFonts w:ascii="TH SarabunPSK" w:hAnsi="TH SarabunPSK" w:cs="TH SarabunPSK"/>
          <w:sz w:val="28"/>
        </w:rPr>
        <w:t>email :</w:t>
      </w:r>
      <w:proofErr w:type="gramEnd"/>
      <w:r>
        <w:rPr>
          <w:rFonts w:ascii="TH SarabunPSK" w:hAnsi="TH SarabunPSK" w:cs="TH SarabunPSK"/>
          <w:sz w:val="28"/>
        </w:rPr>
        <w:t xml:space="preserve"> nscpopl@hotmail.com</w:t>
      </w:r>
    </w:p>
    <w:p w:rsidR="004A4939" w:rsidRPr="004A4939" w:rsidRDefault="004A4939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4A4939" w:rsidRPr="004A4939" w:rsidSect="00AB2188">
      <w:pgSz w:w="23814" w:h="16840" w:orient="landscape" w:code="9"/>
      <w:pgMar w:top="1440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51AE2"/>
    <w:rsid w:val="00070356"/>
    <w:rsid w:val="00081262"/>
    <w:rsid w:val="00090B81"/>
    <w:rsid w:val="00090D17"/>
    <w:rsid w:val="000944DF"/>
    <w:rsid w:val="000A0A7B"/>
    <w:rsid w:val="000A7639"/>
    <w:rsid w:val="000C5A2A"/>
    <w:rsid w:val="000E35ED"/>
    <w:rsid w:val="000F0D3E"/>
    <w:rsid w:val="00110AE7"/>
    <w:rsid w:val="0011331A"/>
    <w:rsid w:val="00115A98"/>
    <w:rsid w:val="0013360D"/>
    <w:rsid w:val="0013548E"/>
    <w:rsid w:val="001667CB"/>
    <w:rsid w:val="001A207E"/>
    <w:rsid w:val="001A4572"/>
    <w:rsid w:val="001C12C2"/>
    <w:rsid w:val="00223867"/>
    <w:rsid w:val="00251A95"/>
    <w:rsid w:val="0025625E"/>
    <w:rsid w:val="00262D5A"/>
    <w:rsid w:val="0027128C"/>
    <w:rsid w:val="00294236"/>
    <w:rsid w:val="002C30F5"/>
    <w:rsid w:val="00340834"/>
    <w:rsid w:val="00351BF5"/>
    <w:rsid w:val="00365CF7"/>
    <w:rsid w:val="003734A4"/>
    <w:rsid w:val="00382C96"/>
    <w:rsid w:val="003A0388"/>
    <w:rsid w:val="003B010A"/>
    <w:rsid w:val="003B34F1"/>
    <w:rsid w:val="003F6221"/>
    <w:rsid w:val="00422F77"/>
    <w:rsid w:val="0043320D"/>
    <w:rsid w:val="0045212E"/>
    <w:rsid w:val="004569F9"/>
    <w:rsid w:val="004578EF"/>
    <w:rsid w:val="004932BD"/>
    <w:rsid w:val="00496F97"/>
    <w:rsid w:val="004A4939"/>
    <w:rsid w:val="004D6DA4"/>
    <w:rsid w:val="00550269"/>
    <w:rsid w:val="00561712"/>
    <w:rsid w:val="00580649"/>
    <w:rsid w:val="005B7114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9316D"/>
    <w:rsid w:val="00695067"/>
    <w:rsid w:val="006B320C"/>
    <w:rsid w:val="006E225C"/>
    <w:rsid w:val="007116C0"/>
    <w:rsid w:val="007116F3"/>
    <w:rsid w:val="00736370"/>
    <w:rsid w:val="00737C7E"/>
    <w:rsid w:val="00746182"/>
    <w:rsid w:val="00762BD3"/>
    <w:rsid w:val="00787E5E"/>
    <w:rsid w:val="007A0579"/>
    <w:rsid w:val="008036A0"/>
    <w:rsid w:val="0080751F"/>
    <w:rsid w:val="008307BE"/>
    <w:rsid w:val="008636C9"/>
    <w:rsid w:val="008936B2"/>
    <w:rsid w:val="008A6CB8"/>
    <w:rsid w:val="008C158F"/>
    <w:rsid w:val="008C3C3D"/>
    <w:rsid w:val="008C69B8"/>
    <w:rsid w:val="008D6373"/>
    <w:rsid w:val="00914853"/>
    <w:rsid w:val="00917C67"/>
    <w:rsid w:val="0093199F"/>
    <w:rsid w:val="009358B9"/>
    <w:rsid w:val="009405E5"/>
    <w:rsid w:val="0094714F"/>
    <w:rsid w:val="00966A4C"/>
    <w:rsid w:val="009B0438"/>
    <w:rsid w:val="009B0E7F"/>
    <w:rsid w:val="009B55CE"/>
    <w:rsid w:val="009D4F5C"/>
    <w:rsid w:val="00A30D04"/>
    <w:rsid w:val="00A3102C"/>
    <w:rsid w:val="00A63A7E"/>
    <w:rsid w:val="00AA3529"/>
    <w:rsid w:val="00AA5221"/>
    <w:rsid w:val="00AA6D01"/>
    <w:rsid w:val="00AB2188"/>
    <w:rsid w:val="00AB5262"/>
    <w:rsid w:val="00AF25AA"/>
    <w:rsid w:val="00B174F3"/>
    <w:rsid w:val="00B26234"/>
    <w:rsid w:val="00B3443F"/>
    <w:rsid w:val="00B53B00"/>
    <w:rsid w:val="00B64650"/>
    <w:rsid w:val="00BA61CC"/>
    <w:rsid w:val="00BC6C1E"/>
    <w:rsid w:val="00BD41B0"/>
    <w:rsid w:val="00BF2F00"/>
    <w:rsid w:val="00BF4917"/>
    <w:rsid w:val="00C07BA0"/>
    <w:rsid w:val="00C1394D"/>
    <w:rsid w:val="00C22934"/>
    <w:rsid w:val="00C32C3D"/>
    <w:rsid w:val="00C3652E"/>
    <w:rsid w:val="00C45817"/>
    <w:rsid w:val="00C511BF"/>
    <w:rsid w:val="00C52541"/>
    <w:rsid w:val="00C64DBA"/>
    <w:rsid w:val="00C80747"/>
    <w:rsid w:val="00C86547"/>
    <w:rsid w:val="00C92FA9"/>
    <w:rsid w:val="00CD3AD6"/>
    <w:rsid w:val="00CD3C3D"/>
    <w:rsid w:val="00CD7CEF"/>
    <w:rsid w:val="00D21D4A"/>
    <w:rsid w:val="00D450CA"/>
    <w:rsid w:val="00D916C6"/>
    <w:rsid w:val="00DC0CA2"/>
    <w:rsid w:val="00DE1540"/>
    <w:rsid w:val="00DE4B17"/>
    <w:rsid w:val="00DF0DB0"/>
    <w:rsid w:val="00ED01D0"/>
    <w:rsid w:val="00EE5585"/>
    <w:rsid w:val="00EE6CBF"/>
    <w:rsid w:val="00EE7A01"/>
    <w:rsid w:val="00F10348"/>
    <w:rsid w:val="00F35B63"/>
    <w:rsid w:val="00F66675"/>
    <w:rsid w:val="00F71653"/>
    <w:rsid w:val="00F77FCE"/>
    <w:rsid w:val="00F816C2"/>
    <w:rsid w:val="00F82F8D"/>
    <w:rsid w:val="00FA344D"/>
    <w:rsid w:val="00FA47EB"/>
    <w:rsid w:val="00FB07BB"/>
    <w:rsid w:val="00FB46E8"/>
    <w:rsid w:val="00FC59D9"/>
    <w:rsid w:val="00FC652C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  <w:style w:type="paragraph" w:customStyle="1" w:styleId="Default">
    <w:name w:val="Default"/>
    <w:rsid w:val="00FC59D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B28CD-0AE0-4C54-9E00-260BA87E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2019-11-06T05:18:00Z</cp:lastPrinted>
  <dcterms:created xsi:type="dcterms:W3CDTF">2020-02-03T13:25:00Z</dcterms:created>
  <dcterms:modified xsi:type="dcterms:W3CDTF">2020-02-05T13:19:00Z</dcterms:modified>
</cp:coreProperties>
</file>